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exact"/>
        <w:ind w:left="288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704850</wp:posOffset>
            </wp:positionH>
            <wp:positionV relativeFrom="page">
              <wp:posOffset>541020</wp:posOffset>
            </wp:positionV>
            <wp:extent cx="1506220" cy="372745"/>
            <wp:effectExtent l="0" t="0" r="177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8"/>
          <w:szCs w:val="28"/>
        </w:rPr>
        <w:t>投资有风险 入市需谨慎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108585</wp:posOffset>
            </wp:positionH>
            <wp:positionV relativeFrom="paragraph">
              <wp:posOffset>40005</wp:posOffset>
            </wp:positionV>
            <wp:extent cx="622681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5" w:lineRule="exact"/>
        <w:rPr>
          <w:color w:val="auto"/>
          <w:sz w:val="24"/>
          <w:szCs w:val="24"/>
        </w:rPr>
      </w:pPr>
    </w:p>
    <w:p>
      <w:pPr>
        <w:spacing w:after="0" w:line="947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83"/>
          <w:szCs w:val="83"/>
        </w:rPr>
        <w:t>黑色建材日报</w:t>
      </w:r>
      <w:bookmarkStart w:id="2" w:name="_GoBack"/>
      <w:bookmarkEnd w:id="2"/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311785</wp:posOffset>
            </wp:positionV>
            <wp:extent cx="6467475" cy="5165090"/>
            <wp:effectExtent l="0" t="0" r="9525" b="165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16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158" w:right="1066" w:bottom="471" w:left="880" w:header="0" w:footer="0" w:gutter="0"/>
          <w:cols w:equalWidth="0" w:num="1">
            <w:col w:w="996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4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黑色</w:t>
      </w:r>
      <w:r>
        <w:rPr>
          <w:rFonts w:ascii="MS PGothic" w:hAnsi="MS PGothic" w:eastAsia="MS PGothic" w:cs="MS PGothic"/>
          <w:b/>
          <w:bCs/>
          <w:color w:val="auto"/>
          <w:sz w:val="21"/>
          <w:szCs w:val="21"/>
        </w:rPr>
        <w:t>∣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动力煤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5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基本面：</w:t>
      </w:r>
    </w:p>
    <w:p>
      <w:pPr>
        <w:spacing w:after="0" w:line="104" w:lineRule="exact"/>
        <w:rPr>
          <w:color w:val="auto"/>
          <w:sz w:val="24"/>
          <w:szCs w:val="24"/>
        </w:rPr>
      </w:pPr>
    </w:p>
    <w:p>
      <w:pPr>
        <w:spacing w:after="0" w:line="286" w:lineRule="exact"/>
        <w:ind w:right="100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陕北地区坑口受到下游水泥、焦化和煤化工企业采购情绪较高，煤矿出货较快，整体价格小幅上涨。晋蒙地区受到两会安监检查，坑口产量减少，地销采购积极，矿上拉煤车出现排队现象。</w:t>
      </w:r>
    </w:p>
    <w:p>
      <w:pPr>
        <w:spacing w:after="0" w:line="74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 xml:space="preserve">结论 </w:t>
      </w:r>
      <w:r>
        <w:rPr>
          <w:rFonts w:ascii="宋体" w:hAnsi="宋体" w:eastAsia="宋体" w:cs="宋体"/>
          <w:color w:val="auto"/>
          <w:sz w:val="21"/>
          <w:szCs w:val="21"/>
        </w:rPr>
        <w:t>：</w:t>
      </w:r>
    </w:p>
    <w:p>
      <w:pPr>
        <w:spacing w:after="0" w:line="70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昨日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CCI5500 </w:t>
      </w:r>
      <w:r>
        <w:rPr>
          <w:rFonts w:ascii="宋体" w:hAnsi="宋体" w:eastAsia="宋体" w:cs="宋体"/>
          <w:color w:val="auto"/>
          <w:sz w:val="21"/>
          <w:szCs w:val="21"/>
        </w:rPr>
        <w:t>指数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534</w:t>
      </w:r>
      <w:r>
        <w:rPr>
          <w:rFonts w:ascii="宋体" w:hAnsi="宋体" w:eastAsia="宋体" w:cs="宋体"/>
          <w:color w:val="auto"/>
          <w:sz w:val="21"/>
          <w:szCs w:val="21"/>
        </w:rPr>
        <w:t>（</w:t>
      </w:r>
      <w:r>
        <w:rPr>
          <w:rFonts w:ascii="Calibri" w:hAnsi="Calibri" w:eastAsia="Calibri" w:cs="Calibri"/>
          <w:color w:val="auto"/>
          <w:sz w:val="21"/>
          <w:szCs w:val="21"/>
        </w:rPr>
        <w:t>+10</w:t>
      </w:r>
      <w:r>
        <w:rPr>
          <w:rFonts w:ascii="宋体" w:hAnsi="宋体" w:eastAsia="宋体" w:cs="宋体"/>
          <w:color w:val="auto"/>
          <w:sz w:val="21"/>
          <w:szCs w:val="21"/>
        </w:rPr>
        <w:t>），环渤海煤炭价格继</w:t>
      </w:r>
    </w:p>
    <w:p>
      <w:pPr>
        <w:spacing w:after="0" w:line="46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续上涨。今日盘面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zc2009 </w:t>
      </w:r>
      <w:r>
        <w:rPr>
          <w:rFonts w:ascii="宋体" w:hAnsi="宋体" w:eastAsia="宋体" w:cs="宋体"/>
          <w:color w:val="auto"/>
          <w:sz w:val="21"/>
          <w:szCs w:val="21"/>
        </w:rPr>
        <w:t>减仓下行，目前港口价格</w:t>
      </w:r>
    </w:p>
    <w:p>
      <w:pPr>
        <w:spacing w:after="0" w:line="49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持续上涨，期货盘面有所回调，基差有所修复，但</w:t>
      </w:r>
    </w:p>
    <w:p>
      <w:pPr>
        <w:spacing w:after="0" w:line="72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港口结构性缺货问题依旧存在，报价混乱，贸易商</w:t>
      </w:r>
    </w:p>
    <w:p>
      <w:pPr>
        <w:spacing w:after="0" w:line="84" w:lineRule="exact"/>
        <w:rPr>
          <w:color w:val="auto"/>
          <w:sz w:val="24"/>
          <w:szCs w:val="24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捂货情况较为普遍，短期内港口现货预计强势运行。</w:t>
      </w:r>
    </w:p>
    <w:p>
      <w:pPr>
        <w:spacing w:after="0" w:line="382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操作建议</w:t>
      </w:r>
      <w:r>
        <w:rPr>
          <w:rFonts w:ascii="宋体" w:hAnsi="宋体" w:eastAsia="宋体" w:cs="宋体"/>
          <w:color w:val="auto"/>
          <w:sz w:val="21"/>
          <w:szCs w:val="21"/>
        </w:rPr>
        <w:t>：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9-1 </w:t>
      </w:r>
      <w:r>
        <w:rPr>
          <w:rFonts w:ascii="宋体" w:hAnsi="宋体" w:eastAsia="宋体" w:cs="宋体"/>
          <w:color w:val="auto"/>
          <w:sz w:val="21"/>
          <w:szCs w:val="21"/>
        </w:rPr>
        <w:t>正套继续持有。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27" w:lineRule="exact"/>
        <w:rPr>
          <w:color w:val="auto"/>
          <w:sz w:val="24"/>
          <w:szCs w:val="24"/>
        </w:rPr>
      </w:pPr>
    </w:p>
    <w:p>
      <w:pPr>
        <w:spacing w:after="0" w:line="267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分析员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: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王鹤</w:t>
      </w:r>
    </w:p>
    <w:p>
      <w:pPr>
        <w:spacing w:after="0" w:line="46" w:lineRule="exact"/>
        <w:rPr>
          <w:color w:val="auto"/>
          <w:sz w:val="24"/>
          <w:szCs w:val="24"/>
        </w:rPr>
      </w:pPr>
    </w:p>
    <w:p>
      <w:pPr>
        <w:spacing w:after="0" w:line="267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从业证书编号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:F0309144</w:t>
      </w:r>
    </w:p>
    <w:p>
      <w:pPr>
        <w:spacing w:after="0" w:line="46" w:lineRule="exact"/>
        <w:rPr>
          <w:color w:val="auto"/>
          <w:sz w:val="24"/>
          <w:szCs w:val="24"/>
        </w:rPr>
      </w:pPr>
    </w:p>
    <w:p>
      <w:pPr>
        <w:spacing w:after="0" w:line="267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投资咨询证书编号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:Z0012737</w:t>
      </w:r>
    </w:p>
    <w:p>
      <w:pPr>
        <w:spacing w:after="0" w:line="46" w:lineRule="exact"/>
        <w:rPr>
          <w:color w:val="auto"/>
          <w:sz w:val="24"/>
          <w:szCs w:val="24"/>
        </w:rPr>
      </w:pP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column"/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4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黑色</w:t>
      </w:r>
      <w:r>
        <w:rPr>
          <w:rFonts w:ascii="MS PGothic" w:hAnsi="MS PGothic" w:eastAsia="MS PGothic" w:cs="MS PGothic"/>
          <w:b/>
          <w:bCs/>
          <w:color w:val="auto"/>
          <w:sz w:val="21"/>
          <w:szCs w:val="21"/>
        </w:rPr>
        <w:t>∣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焦煤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5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基本面</w:t>
      </w:r>
      <w:r>
        <w:rPr>
          <w:rFonts w:ascii="宋体" w:hAnsi="宋体" w:eastAsia="宋体" w:cs="宋体"/>
          <w:color w:val="auto"/>
          <w:sz w:val="18"/>
          <w:szCs w:val="18"/>
        </w:rPr>
        <w:t>：</w:t>
      </w:r>
    </w:p>
    <w:p>
      <w:pPr>
        <w:spacing w:after="0" w:line="104" w:lineRule="exact"/>
        <w:rPr>
          <w:color w:val="auto"/>
          <w:sz w:val="24"/>
          <w:szCs w:val="24"/>
        </w:rPr>
      </w:pPr>
    </w:p>
    <w:p>
      <w:pPr>
        <w:spacing w:after="0" w:line="295" w:lineRule="exact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国内主产地焦煤价格弱稳运行，现阶段多数煤企库存仍处于高位，煤矿出货压力较大，目前下游焦企多按需采购，焦煤整体供应量受到两会安监影响小幅收缩，短期内焦煤价格弱稳运行。澳煤目前价格优势逐步缩小，并且澳煤受到海关限制，成交量极少。蒙煤通关仍然在恢复中，澳甲有所上涨。</w:t>
      </w:r>
    </w:p>
    <w:p>
      <w:pPr>
        <w:spacing w:after="0" w:line="386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操作建议：</w:t>
      </w:r>
      <w:r>
        <w:rPr>
          <w:rFonts w:ascii="宋体" w:hAnsi="宋体" w:eastAsia="宋体" w:cs="宋体"/>
          <w:color w:val="auto"/>
          <w:sz w:val="21"/>
          <w:szCs w:val="21"/>
        </w:rPr>
        <w:t>观望为主。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1" w:lineRule="exact"/>
        <w:rPr>
          <w:color w:val="auto"/>
          <w:sz w:val="24"/>
          <w:szCs w:val="24"/>
        </w:rPr>
      </w:pPr>
    </w:p>
    <w:p>
      <w:pPr>
        <w:spacing w:after="0" w:line="267" w:lineRule="exact"/>
        <w:ind w:left="26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数据来源：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 xml:space="preserve">WIND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资讯</w:t>
      </w:r>
    </w:p>
    <w:p>
      <w:pPr>
        <w:spacing w:after="0" w:line="2691" w:lineRule="exact"/>
        <w:rPr>
          <w:color w:val="auto"/>
          <w:sz w:val="24"/>
          <w:szCs w:val="24"/>
        </w:rPr>
      </w:pPr>
    </w:p>
    <w:p>
      <w:pPr>
        <w:sectPr>
          <w:type w:val="continuous"/>
          <w:pgSz w:w="11900" w:h="16838"/>
          <w:pgMar w:top="1158" w:right="1066" w:bottom="471" w:left="880" w:header="0" w:footer="0" w:gutter="0"/>
          <w:cols w:equalWidth="0" w:num="2">
            <w:col w:w="4820" w:space="400"/>
            <w:col w:w="4740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1" w:lineRule="exact"/>
        <w:rPr>
          <w:color w:val="auto"/>
          <w:sz w:val="24"/>
          <w:szCs w:val="24"/>
        </w:rPr>
      </w:pPr>
    </w:p>
    <w:p>
      <w:pPr>
        <w:spacing w:after="0" w:line="308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本文仅供内部参考 据此操作风险自担</w:t>
      </w:r>
    </w:p>
    <w:p>
      <w:pPr>
        <w:sectPr>
          <w:type w:val="continuous"/>
          <w:pgSz w:w="11900" w:h="16838"/>
          <w:pgMar w:top="1158" w:right="1066" w:bottom="471" w:left="880" w:header="0" w:footer="0" w:gutter="0"/>
          <w:cols w:equalWidth="0" w:num="1">
            <w:col w:w="9960"/>
          </w:cols>
        </w:sectPr>
      </w:pPr>
    </w:p>
    <w:p>
      <w:pPr>
        <w:spacing w:after="0" w:line="320" w:lineRule="exact"/>
        <w:ind w:left="2680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704850</wp:posOffset>
            </wp:positionH>
            <wp:positionV relativeFrom="page">
              <wp:posOffset>541020</wp:posOffset>
            </wp:positionV>
            <wp:extent cx="1506220" cy="372745"/>
            <wp:effectExtent l="0" t="0" r="1778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auto"/>
          <w:sz w:val="28"/>
          <w:szCs w:val="28"/>
        </w:rPr>
        <w:t>投资有风险 入市需谨慎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40005</wp:posOffset>
            </wp:positionV>
            <wp:extent cx="622681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37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FF0000"/>
          <w:sz w:val="31"/>
          <w:szCs w:val="31"/>
        </w:rPr>
        <w:t>风险揭示</w:t>
      </w:r>
      <w:r>
        <w:rPr>
          <w:rFonts w:ascii="Arial" w:hAnsi="Arial" w:eastAsia="Arial" w:cs="Arial"/>
          <w:b/>
          <w:bCs/>
          <w:color w:val="FF0000"/>
          <w:sz w:val="31"/>
          <w:szCs w:val="31"/>
        </w:rPr>
        <w:t>:</w:t>
      </w:r>
      <w:r>
        <w:rPr>
          <w:rFonts w:ascii="宋体" w:hAnsi="宋体" w:eastAsia="宋体" w:cs="宋体"/>
          <w:color w:val="FF0000"/>
          <w:sz w:val="29"/>
          <w:szCs w:val="29"/>
        </w:rPr>
        <w:t>您应当客观评估自身财务状况、交易经验，确定自身的风险偏好、</w:t>
      </w:r>
    </w:p>
    <w:p>
      <w:pPr>
        <w:spacing w:after="0" w:line="254" w:lineRule="exact"/>
        <w:rPr>
          <w:color w:val="auto"/>
          <w:sz w:val="20"/>
          <w:szCs w:val="20"/>
        </w:rPr>
      </w:pPr>
    </w:p>
    <w:p>
      <w:pPr>
        <w:spacing w:after="0" w:line="36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风险承受能力和服务需求，并遵循</w:t>
      </w:r>
      <w:r>
        <w:rPr>
          <w:rFonts w:ascii="Arial" w:hAnsi="Arial" w:eastAsia="Arial" w:cs="Arial"/>
          <w:color w:val="FF0000"/>
          <w:sz w:val="30"/>
          <w:szCs w:val="30"/>
        </w:rPr>
        <w:t>“</w:t>
      </w:r>
      <w:r>
        <w:rPr>
          <w:rFonts w:ascii="宋体" w:hAnsi="宋体" w:eastAsia="宋体" w:cs="宋体"/>
          <w:color w:val="FF0000"/>
          <w:sz w:val="30"/>
          <w:szCs w:val="30"/>
        </w:rPr>
        <w:t>买卖自负</w:t>
      </w:r>
      <w:r>
        <w:rPr>
          <w:rFonts w:ascii="Arial" w:hAnsi="Arial" w:eastAsia="Arial" w:cs="Arial"/>
          <w:color w:val="FF0000"/>
          <w:sz w:val="30"/>
          <w:szCs w:val="30"/>
        </w:rPr>
        <w:t>”</w:t>
      </w:r>
      <w:r>
        <w:rPr>
          <w:rFonts w:ascii="宋体" w:hAnsi="宋体" w:eastAsia="宋体" w:cs="宋体"/>
          <w:color w:val="FF0000"/>
          <w:sz w:val="30"/>
          <w:szCs w:val="30"/>
        </w:rPr>
        <w:t>的金融市场原则，充分认</w:t>
      </w:r>
    </w:p>
    <w:p>
      <w:pPr>
        <w:spacing w:after="0" w:line="268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识期货交易的风险，了解任何有关期货行情的分析、预测都可能与实际情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况有差异。自行决定是否采纳期货公司提供的报告中给出的建议，并自行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承担交易后果。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 w:line="388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免责声明</w:t>
      </w:r>
      <w:r>
        <w:rPr>
          <w:rFonts w:ascii="Arial" w:hAnsi="Arial" w:eastAsia="Arial" w:cs="Arial"/>
          <w:b/>
          <w:bCs/>
          <w:color w:val="FF0000"/>
          <w:sz w:val="32"/>
          <w:szCs w:val="32"/>
        </w:rPr>
        <w:t>:</w:t>
      </w:r>
      <w:r>
        <w:rPr>
          <w:rFonts w:ascii="宋体" w:hAnsi="宋体" w:eastAsia="宋体" w:cs="宋体"/>
          <w:color w:val="FF0000"/>
          <w:sz w:val="30"/>
          <w:szCs w:val="30"/>
        </w:rPr>
        <w:t>本报告的信息均来源于非保密资料，本公司对这些信息的准确性</w:t>
      </w:r>
    </w:p>
    <w:p>
      <w:pPr>
        <w:spacing w:after="0" w:line="26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和完整性不作任何保证。本报告中的观点、结论和建议并不代表作者对价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格涨跌或市场走势的确定性判断。在任何情况下，本公司不对任何人因使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用本报告中的任何内容所引致的任何损失负任何责任。本报告所载的意见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30"/>
          <w:szCs w:val="30"/>
        </w:rPr>
        <w:t>或推测仅反映本公司于发布日的观点，在不同时期，本公司可发出与本报</w:t>
      </w:r>
    </w:p>
    <w:p>
      <w:pPr>
        <w:spacing w:after="0" w:line="282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29"/>
          <w:szCs w:val="29"/>
        </w:rPr>
        <w:t>告所载意见或推测不一致的报告，投资者应当自行关注相应的更新或修改。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right="1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本文仅供内部参考 据此操作风险自担</w:t>
      </w:r>
    </w:p>
    <w:sectPr>
      <w:pgSz w:w="11900" w:h="16838"/>
      <w:pgMar w:top="1158" w:right="926" w:bottom="471" w:left="1080" w:header="0" w:footer="0" w:gutter="0"/>
      <w:cols w:equalWidth="0" w:num="1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566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2020-05-22T16:47:00Z</dcterms:created>
  <dc:creator>Windows User</dc:creator>
  <cp:lastModifiedBy>shichang5-PYF</cp:lastModifiedBy>
  <dcterms:modified xsi:type="dcterms:W3CDTF">2020-05-22T08:48:39Z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